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14:anchorId="6560F53C" wp14:editId="53ACFC73">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9E1264">
            <w:pPr>
              <w:rPr>
                <w:rFonts w:ascii="Arial" w:hAnsi="Arial"/>
              </w:rPr>
            </w:pPr>
            <w:r>
              <w:rPr>
                <w:rFonts w:ascii="Arial" w:hAnsi="Arial"/>
              </w:rPr>
              <w:t>1</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9E1264">
            <w:pPr>
              <w:rPr>
                <w:rFonts w:ascii="Arial" w:hAnsi="Arial"/>
                <w:b/>
                <w:lang w:val="en-GB"/>
              </w:rPr>
            </w:pPr>
            <w:r w:rsidRPr="00374610">
              <w:rPr>
                <w:rFonts w:ascii="Arial" w:hAnsi="Arial"/>
                <w:b/>
                <w:lang w:val="en-GB"/>
              </w:rPr>
              <w:t>AUTHOR:</w:t>
            </w:r>
          </w:p>
          <w:p w:rsidR="00F47D4D" w:rsidRPr="00374610" w:rsidRDefault="00F47D4D" w:rsidP="009E1264">
            <w:pPr>
              <w:rPr>
                <w:rFonts w:ascii="Arial" w:hAnsi="Arial"/>
              </w:rPr>
            </w:pPr>
          </w:p>
        </w:tc>
        <w:tc>
          <w:tcPr>
            <w:tcW w:w="6320" w:type="dxa"/>
            <w:gridSpan w:val="5"/>
          </w:tcPr>
          <w:p w:rsidR="00F47D4D" w:rsidRDefault="00F47D4D" w:rsidP="009E1264">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9E1264">
            <w:pPr>
              <w:rPr>
                <w:rFonts w:ascii="Arial" w:hAnsi="Arial"/>
              </w:rPr>
            </w:pPr>
            <w:r>
              <w:rPr>
                <w:rFonts w:ascii="Arial" w:hAnsi="Arial"/>
              </w:rPr>
              <w:t>June</w:t>
            </w:r>
            <w:r w:rsidR="00EE5518">
              <w:rPr>
                <w:rFonts w:ascii="Arial" w:hAnsi="Arial"/>
              </w:rPr>
              <w:t xml:space="preserve"> 1</w:t>
            </w:r>
            <w:r w:rsidR="00B6361E">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7C3AF4" w:rsidP="009E1264">
            <w:pPr>
              <w:jc w:val="center"/>
              <w:rPr>
                <w:rFonts w:ascii="Arial" w:hAnsi="Arial"/>
              </w:rPr>
            </w:pPr>
            <w:r>
              <w:rPr>
                <w:rFonts w:ascii="Arial" w:hAnsi="Arial"/>
              </w:rPr>
              <w:t xml:space="preserve">June </w:t>
            </w:r>
            <w:r w:rsidR="00CD77AD">
              <w:rPr>
                <w:rFonts w:ascii="Arial" w:hAnsi="Arial"/>
              </w:rPr>
              <w:t>1</w:t>
            </w:r>
            <w:r w:rsidR="00B6361E">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84084" w:rsidP="00B6361E">
            <w:pPr>
              <w:rPr>
                <w:rFonts w:ascii="Arial" w:hAnsi="Arial"/>
              </w:rPr>
            </w:pPr>
            <w:r>
              <w:rPr>
                <w:rFonts w:ascii="Arial" w:hAnsi="Arial"/>
              </w:rPr>
              <w:t xml:space="preserve">                   “Angelique Lemay”</w:t>
            </w:r>
          </w:p>
        </w:tc>
        <w:tc>
          <w:tcPr>
            <w:tcW w:w="1188" w:type="dxa"/>
            <w:gridSpan w:val="2"/>
          </w:tcPr>
          <w:p w:rsidR="00D1300B" w:rsidRDefault="00284084">
            <w:pPr>
              <w:rPr>
                <w:rFonts w:ascii="Arial" w:hAnsi="Arial"/>
              </w:rPr>
            </w:pPr>
            <w:r>
              <w:rPr>
                <w:rFonts w:ascii="Arial" w:hAnsi="Arial"/>
              </w:rPr>
              <w:t>July/16</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9673D">
            <w:pPr>
              <w:pStyle w:val="Heading2"/>
              <w:rPr>
                <w:rFonts w:ascii="Arial" w:hAnsi="Arial"/>
                <w:lang w:val="en-US"/>
              </w:rPr>
            </w:pPr>
            <w:r>
              <w:rPr>
                <w:rFonts w:ascii="Arial" w:hAnsi="Arial"/>
              </w:rPr>
              <w:t>DEAN</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w:t>
            </w:r>
            <w:r w:rsidR="009E1264">
              <w:rPr>
                <w:rFonts w:ascii="Arial" w:hAnsi="Arial"/>
                <w:sz w:val="22"/>
                <w:szCs w:val="22"/>
              </w:rPr>
              <w:t>5</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5342F">
        <w:trPr>
          <w:cantSplit/>
        </w:trPr>
        <w:tc>
          <w:tcPr>
            <w:tcW w:w="8856" w:type="dxa"/>
            <w:gridSpan w:val="7"/>
          </w:tcPr>
          <w:p w:rsidR="00D5342F" w:rsidRDefault="00D5342F">
            <w:pPr>
              <w:pStyle w:val="Heading2"/>
              <w:tabs>
                <w:tab w:val="center" w:pos="4560"/>
              </w:tabs>
              <w:rPr>
                <w:rFonts w:ascii="Arial" w:hAnsi="Arial"/>
                <w:b w:val="0"/>
              </w:rPr>
            </w:pPr>
            <w:r>
              <w:rPr>
                <w:rFonts w:ascii="Arial" w:hAnsi="Arial"/>
                <w:b w:val="0"/>
                <w:i/>
              </w:rPr>
              <w:t>For additional information, please contact Angelique Lemay, Dean</w:t>
            </w:r>
          </w:p>
        </w:tc>
      </w:tr>
      <w:tr w:rsidR="00D5342F">
        <w:trPr>
          <w:cantSplit/>
        </w:trPr>
        <w:tc>
          <w:tcPr>
            <w:tcW w:w="8856" w:type="dxa"/>
            <w:gridSpan w:val="7"/>
          </w:tcPr>
          <w:p w:rsidR="00D5342F" w:rsidRDefault="00D5342F">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D5342F">
        <w:trPr>
          <w:cantSplit/>
        </w:trPr>
        <w:tc>
          <w:tcPr>
            <w:tcW w:w="8856" w:type="dxa"/>
            <w:gridSpan w:val="7"/>
          </w:tcPr>
          <w:p w:rsidR="00D5342F" w:rsidRDefault="00D5342F">
            <w:pPr>
              <w:tabs>
                <w:tab w:val="center" w:pos="4560"/>
              </w:tabs>
              <w:rPr>
                <w:rFonts w:ascii="Arial" w:hAnsi="Arial"/>
                <w:i/>
                <w:lang w:val="en-GB"/>
              </w:rPr>
            </w:pPr>
            <w:r>
              <w:rPr>
                <w:i/>
                <w:lang w:val="en-GB"/>
              </w:rPr>
              <w:t xml:space="preserve">                                                (705) 759-2554, Ext. 2737</w:t>
            </w:r>
          </w:p>
          <w:p w:rsidR="00D5342F" w:rsidRDefault="00D5342F">
            <w:pPr>
              <w:tabs>
                <w:tab w:val="center" w:pos="4560"/>
              </w:tabs>
              <w:jc w:val="center"/>
              <w:rPr>
                <w:i/>
                <w:sz w:val="22"/>
                <w:lang w:val="en-GB"/>
              </w:rPr>
            </w:pPr>
          </w:p>
          <w:p w:rsidR="00D5342F" w:rsidRDefault="00D5342F">
            <w:pPr>
              <w:tabs>
                <w:tab w:val="center" w:pos="4560"/>
              </w:tabs>
              <w:jc w:val="center"/>
              <w:rPr>
                <w:rFonts w:ascii="Arial" w:hAnsi="Arial"/>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9E1264">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 xml:space="preserve">Communicate the strengths and barriers of the </w:t>
            </w:r>
            <w:r w:rsidR="009E1264">
              <w:rPr>
                <w:rFonts w:ascii="Arial" w:hAnsi="Arial"/>
              </w:rPr>
              <w:t xml:space="preserve">DSM-V </w:t>
            </w:r>
            <w:r>
              <w:rPr>
                <w:rFonts w:ascii="Arial" w:hAnsi="Arial"/>
              </w:rPr>
              <w:t>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9E1264">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9E1264">
            <w:pPr>
              <w:rPr>
                <w:rFonts w:ascii="Arial" w:hAnsi="Arial"/>
              </w:rPr>
            </w:pPr>
            <w:r>
              <w:rPr>
                <w:rFonts w:ascii="Arial" w:hAnsi="Arial"/>
              </w:rPr>
              <w:t>Distinguish between the various psychiatric diagno</w:t>
            </w:r>
            <w:r w:rsidR="009E1264">
              <w:rPr>
                <w:rFonts w:ascii="Arial" w:hAnsi="Arial"/>
              </w:rPr>
              <w:t xml:space="preserve">ses as communicated in the DSM-V </w:t>
            </w:r>
            <w:r>
              <w:rPr>
                <w:rFonts w:ascii="Arial" w:hAnsi="Arial"/>
              </w:rPr>
              <w:t>and other sources.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w:t>
            </w:r>
            <w:r w:rsidR="009E1264">
              <w:rPr>
                <w:rFonts w:ascii="Arial" w:hAnsi="Arial"/>
              </w:rPr>
              <w:t>ders as represented by the DSM-</w:t>
            </w:r>
            <w:r>
              <w:rPr>
                <w:rFonts w:ascii="Arial" w:hAnsi="Arial"/>
              </w:rPr>
              <w:t>V and other sources</w:t>
            </w:r>
          </w:p>
          <w:p w:rsidR="00C4626B" w:rsidRDefault="00C4626B" w:rsidP="00C4626B">
            <w:pPr>
              <w:numPr>
                <w:ilvl w:val="0"/>
                <w:numId w:val="14"/>
              </w:numPr>
              <w:rPr>
                <w:rFonts w:ascii="Arial" w:hAnsi="Arial"/>
              </w:rPr>
            </w:pPr>
            <w:r>
              <w:rPr>
                <w:rFonts w:ascii="Arial" w:hAnsi="Arial"/>
              </w:rPr>
              <w:t>Recognize symptoms and  behaviours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9E1264">
            <w:pPr>
              <w:rPr>
                <w:rFonts w:ascii="Arial" w:hAnsi="Arial"/>
              </w:rPr>
            </w:pPr>
          </w:p>
          <w:p w:rsidR="008643E3" w:rsidRDefault="008643E3" w:rsidP="009E1264">
            <w:pPr>
              <w:rPr>
                <w:rFonts w:ascii="Arial" w:hAnsi="Arial"/>
              </w:rPr>
            </w:pPr>
          </w:p>
        </w:tc>
      </w:tr>
    </w:tbl>
    <w:p w:rsidR="00872BB6" w:rsidRDefault="00872BB6">
      <w:r>
        <w:br w:type="page"/>
      </w:r>
    </w:p>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9E1264">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9E1264">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9E1264">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9E1264">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9E1264">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9E1264">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9E1264">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9E1264">
            <w:pPr>
              <w:rPr>
                <w:rFonts w:ascii="Arial" w:hAnsi="Arial"/>
              </w:rPr>
            </w:pPr>
          </w:p>
        </w:tc>
        <w:tc>
          <w:tcPr>
            <w:tcW w:w="7614" w:type="dxa"/>
          </w:tcPr>
          <w:p w:rsidR="00B101E9" w:rsidRDefault="00B101E9" w:rsidP="009E1264">
            <w:pPr>
              <w:rPr>
                <w:rFonts w:ascii="Arial" w:hAnsi="Arial"/>
              </w:rPr>
            </w:pPr>
            <w:r>
              <w:rPr>
                <w:rFonts w:ascii="Arial" w:hAnsi="Arial"/>
                <w:u w:val="single"/>
              </w:rPr>
              <w:t>Potential Elements of the Performance</w:t>
            </w:r>
            <w:r>
              <w:rPr>
                <w:rFonts w:ascii="Arial" w:hAnsi="Arial"/>
              </w:rPr>
              <w:t>:</w:t>
            </w:r>
          </w:p>
          <w:p w:rsidR="00B101E9" w:rsidRDefault="00B101E9" w:rsidP="009E1264">
            <w:pPr>
              <w:numPr>
                <w:ilvl w:val="0"/>
                <w:numId w:val="20"/>
              </w:numPr>
              <w:rPr>
                <w:rFonts w:ascii="Arial" w:hAnsi="Arial"/>
              </w:rPr>
            </w:pPr>
            <w:r>
              <w:rPr>
                <w:rFonts w:ascii="Arial" w:hAnsi="Arial"/>
              </w:rPr>
              <w:t>Classify the drugs as presented in class</w:t>
            </w:r>
          </w:p>
          <w:p w:rsidR="00B101E9" w:rsidRDefault="00B101E9" w:rsidP="009E1264">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597383">
        <w:trPr>
          <w:cantSplit/>
        </w:trPr>
        <w:tc>
          <w:tcPr>
            <w:tcW w:w="675" w:type="dxa"/>
          </w:tcPr>
          <w:p w:rsidR="00D1300B" w:rsidRDefault="00D1300B">
            <w:pPr>
              <w:rPr>
                <w:rFonts w:ascii="Arial" w:hAnsi="Arial"/>
                <w:b/>
              </w:rPr>
            </w:pPr>
            <w:r>
              <w:rPr>
                <w:rFonts w:ascii="Arial" w:hAnsi="Arial"/>
                <w:b/>
              </w:rPr>
              <w:t>III.</w:t>
            </w:r>
          </w:p>
        </w:tc>
        <w:tc>
          <w:tcPr>
            <w:tcW w:w="8181" w:type="dxa"/>
          </w:tcPr>
          <w:p w:rsidR="00D1300B" w:rsidRDefault="00D1300B">
            <w:pPr>
              <w:rPr>
                <w:rFonts w:ascii="Arial" w:hAnsi="Arial"/>
                <w:b/>
              </w:rPr>
            </w:pPr>
            <w:r>
              <w:rPr>
                <w:rFonts w:ascii="Arial" w:hAnsi="Arial"/>
                <w:b/>
              </w:rPr>
              <w:t>TOPICS:</w:t>
            </w:r>
          </w:p>
          <w:p w:rsidR="00597383" w:rsidRPr="00597383" w:rsidRDefault="00597383">
            <w:pPr>
              <w:rPr>
                <w:rFonts w:ascii="Arial" w:hAnsi="Arial"/>
                <w:b/>
              </w:rPr>
            </w:pPr>
          </w:p>
        </w:tc>
      </w:tr>
      <w:tr w:rsidR="000D476C" w:rsidTr="00597383">
        <w:trPr>
          <w:trHeight w:val="2933"/>
        </w:trPr>
        <w:tc>
          <w:tcPr>
            <w:tcW w:w="8856" w:type="dxa"/>
            <w:gridSpan w:val="2"/>
          </w:tcPr>
          <w:p w:rsidR="000D476C" w:rsidRDefault="000D476C" w:rsidP="000D476C">
            <w:pPr>
              <w:rPr>
                <w:rFonts w:ascii="Arial" w:hAnsi="Arial"/>
              </w:rPr>
            </w:pPr>
            <w:r>
              <w:rPr>
                <w:rFonts w:ascii="Arial" w:hAnsi="Arial"/>
              </w:rPr>
              <w:t>1. What is Mental Health/Mental Disorder?</w:t>
            </w:r>
          </w:p>
          <w:p w:rsidR="000D476C" w:rsidRDefault="000D476C" w:rsidP="000D476C">
            <w:pPr>
              <w:rPr>
                <w:rFonts w:ascii="Arial" w:hAnsi="Arial"/>
              </w:rPr>
            </w:pPr>
            <w:r>
              <w:rPr>
                <w:rFonts w:ascii="Arial" w:hAnsi="Arial"/>
              </w:rPr>
              <w:t>2. Diagnoses</w:t>
            </w:r>
          </w:p>
          <w:p w:rsidR="000D476C" w:rsidRDefault="000D476C" w:rsidP="000D476C">
            <w:pPr>
              <w:rPr>
                <w:rFonts w:ascii="Arial" w:hAnsi="Arial"/>
              </w:rPr>
            </w:pPr>
            <w:r>
              <w:rPr>
                <w:rFonts w:ascii="Arial" w:hAnsi="Arial"/>
              </w:rPr>
              <w:t>3. Formal and Informal Systems</w:t>
            </w:r>
          </w:p>
          <w:p w:rsidR="000D476C" w:rsidRPr="00C05258" w:rsidRDefault="000D476C" w:rsidP="000D476C">
            <w:pPr>
              <w:rPr>
                <w:rFonts w:ascii="Arial" w:hAnsi="Arial" w:cs="Arial"/>
              </w:rPr>
            </w:pPr>
            <w:r>
              <w:rPr>
                <w:rFonts w:ascii="Arial" w:hAnsi="Arial"/>
              </w:rPr>
              <w:t xml:space="preserve">4. </w:t>
            </w:r>
            <w:r>
              <w:rPr>
                <w:rFonts w:ascii="Arial" w:hAnsi="Arial" w:cs="Arial"/>
              </w:rPr>
              <w:t>Meds</w:t>
            </w:r>
          </w:p>
          <w:p w:rsidR="000D476C" w:rsidRDefault="000D476C" w:rsidP="000D476C">
            <w:pPr>
              <w:rPr>
                <w:rFonts w:ascii="Arial" w:hAnsi="Arial"/>
              </w:rPr>
            </w:pPr>
            <w:r>
              <w:rPr>
                <w:rFonts w:ascii="Arial" w:hAnsi="Arial"/>
              </w:rPr>
              <w:t>5. Alternatives and Cultural Competence</w:t>
            </w:r>
          </w:p>
          <w:p w:rsidR="000D476C" w:rsidRDefault="000D476C" w:rsidP="000D476C">
            <w:pPr>
              <w:rPr>
                <w:rFonts w:ascii="Arial" w:hAnsi="Arial"/>
              </w:rPr>
            </w:pPr>
            <w:r>
              <w:rPr>
                <w:rFonts w:ascii="Arial" w:hAnsi="Arial"/>
              </w:rPr>
              <w:t>6. Aboriginal Mental Health</w:t>
            </w:r>
          </w:p>
          <w:p w:rsidR="000D476C" w:rsidRDefault="000D476C" w:rsidP="000D476C">
            <w:pPr>
              <w:rPr>
                <w:rFonts w:ascii="Arial" w:hAnsi="Arial"/>
              </w:rPr>
            </w:pPr>
            <w:r>
              <w:rPr>
                <w:rFonts w:ascii="Arial" w:hAnsi="Arial"/>
              </w:rPr>
              <w:t>7. Suicide</w:t>
            </w:r>
          </w:p>
          <w:p w:rsidR="000D476C" w:rsidRDefault="000D476C" w:rsidP="000D476C">
            <w:pPr>
              <w:rPr>
                <w:rFonts w:ascii="Arial" w:hAnsi="Arial"/>
              </w:rPr>
            </w:pPr>
            <w:r>
              <w:rPr>
                <w:rFonts w:ascii="Arial" w:hAnsi="Arial"/>
              </w:rPr>
              <w:t>8. Laws &amp; Policy</w:t>
            </w:r>
          </w:p>
          <w:p w:rsidR="000D476C" w:rsidRDefault="000D476C" w:rsidP="000D476C">
            <w:pPr>
              <w:rPr>
                <w:rFonts w:ascii="Arial" w:hAnsi="Arial"/>
              </w:rPr>
            </w:pPr>
            <w:r>
              <w:rPr>
                <w:rFonts w:ascii="Arial" w:hAnsi="Arial"/>
              </w:rPr>
              <w:t>9. Caregivers</w:t>
            </w:r>
          </w:p>
          <w:p w:rsidR="000D476C" w:rsidRDefault="000D476C" w:rsidP="000D476C">
            <w:pPr>
              <w:rPr>
                <w:rFonts w:ascii="Arial" w:hAnsi="Arial"/>
              </w:rPr>
            </w:pPr>
            <w:r>
              <w:rPr>
                <w:rFonts w:ascii="Arial" w:hAnsi="Arial"/>
              </w:rPr>
              <w:t>10. Local Services</w:t>
            </w:r>
          </w:p>
        </w:tc>
      </w:tr>
    </w:tbl>
    <w:p w:rsidR="00A55EF9" w:rsidRDefault="00A55EF9">
      <w:pPr>
        <w:rPr>
          <w:rFonts w:ascii="Arial" w:hAnsi="Arial"/>
        </w:rPr>
      </w:pPr>
    </w:p>
    <w:tbl>
      <w:tblPr>
        <w:tblW w:w="9468" w:type="dxa"/>
        <w:tblLayout w:type="fixed"/>
        <w:tblLook w:val="0000" w:firstRow="0" w:lastRow="0" w:firstColumn="0" w:lastColumn="0" w:noHBand="0" w:noVBand="0"/>
      </w:tblPr>
      <w:tblGrid>
        <w:gridCol w:w="675"/>
        <w:gridCol w:w="4396"/>
        <w:gridCol w:w="3785"/>
        <w:gridCol w:w="612"/>
      </w:tblGrid>
      <w:tr w:rsidR="00D1300B" w:rsidTr="00597383">
        <w:trPr>
          <w:gridAfter w:val="1"/>
          <w:wAfter w:w="612" w:type="dxa"/>
          <w:cantSplit/>
        </w:trPr>
        <w:tc>
          <w:tcPr>
            <w:tcW w:w="675" w:type="dxa"/>
          </w:tcPr>
          <w:p w:rsidR="00D1300B" w:rsidRDefault="00D1300B">
            <w:pPr>
              <w:rPr>
                <w:rFonts w:ascii="Arial" w:hAnsi="Arial"/>
                <w:b/>
              </w:rPr>
            </w:pPr>
            <w:r>
              <w:rPr>
                <w:rFonts w:ascii="Arial" w:hAnsi="Arial"/>
                <w:b/>
              </w:rPr>
              <w:t>IV.</w:t>
            </w:r>
          </w:p>
        </w:tc>
        <w:tc>
          <w:tcPr>
            <w:tcW w:w="8181" w:type="dxa"/>
            <w:gridSpan w:val="2"/>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0D476C">
            <w:pPr>
              <w:rPr>
                <w:rFonts w:ascii="Arial" w:hAnsi="Arial"/>
              </w:rPr>
            </w:pPr>
            <w:r w:rsidRPr="00511E50">
              <w:rPr>
                <w:rFonts w:ascii="Arial" w:hAnsi="Arial"/>
              </w:rPr>
              <w:t>Supplemental materials will be provided throughout the course.</w:t>
            </w:r>
          </w:p>
          <w:p w:rsidR="000D476C" w:rsidRDefault="000D476C">
            <w:pPr>
              <w:rPr>
                <w:rFonts w:ascii="Arial" w:hAnsi="Arial"/>
                <w:i/>
              </w:rPr>
            </w:pPr>
          </w:p>
        </w:tc>
      </w:tr>
      <w:tr w:rsidR="000D476C" w:rsidTr="00597383">
        <w:trPr>
          <w:gridAfter w:val="1"/>
          <w:wAfter w:w="612" w:type="dxa"/>
          <w:cantSplit/>
        </w:trPr>
        <w:tc>
          <w:tcPr>
            <w:tcW w:w="675" w:type="dxa"/>
          </w:tcPr>
          <w:p w:rsidR="000D476C" w:rsidRDefault="000D476C" w:rsidP="000D476C">
            <w:pPr>
              <w:rPr>
                <w:rFonts w:ascii="Arial" w:hAnsi="Arial"/>
                <w:b/>
              </w:rPr>
            </w:pPr>
            <w:r>
              <w:rPr>
                <w:rFonts w:ascii="Arial" w:hAnsi="Arial"/>
                <w:b/>
              </w:rPr>
              <w:t>V.</w:t>
            </w:r>
          </w:p>
        </w:tc>
        <w:tc>
          <w:tcPr>
            <w:tcW w:w="8181" w:type="dxa"/>
            <w:gridSpan w:val="2"/>
          </w:tcPr>
          <w:p w:rsidR="000D476C" w:rsidRDefault="000D476C" w:rsidP="000D476C">
            <w:pPr>
              <w:rPr>
                <w:rFonts w:ascii="Arial" w:hAnsi="Arial"/>
                <w:b/>
              </w:rPr>
            </w:pPr>
            <w:r>
              <w:rPr>
                <w:rFonts w:ascii="Arial" w:hAnsi="Arial"/>
                <w:b/>
              </w:rPr>
              <w:t>EVALUATION PROCESS/GRADING SYSTEM:</w:t>
            </w:r>
          </w:p>
          <w:p w:rsidR="000D476C" w:rsidRPr="000D476C" w:rsidRDefault="000D476C" w:rsidP="000D476C">
            <w:pPr>
              <w:rPr>
                <w:rFonts w:ascii="Arial" w:hAnsi="Arial"/>
                <w:b/>
              </w:rPr>
            </w:pP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rPr>
            </w:pPr>
            <w:r>
              <w:rPr>
                <w:rFonts w:ascii="Arial" w:hAnsi="Arial" w:cs="Arial"/>
              </w:rPr>
              <w:t>Psychiatric Disorder Presentation</w:t>
            </w:r>
          </w:p>
        </w:tc>
        <w:tc>
          <w:tcPr>
            <w:tcW w:w="4397" w:type="dxa"/>
            <w:gridSpan w:val="2"/>
          </w:tcPr>
          <w:p w:rsidR="000D476C" w:rsidRPr="00C95B81" w:rsidRDefault="000D476C" w:rsidP="000D476C">
            <w:pPr>
              <w:rPr>
                <w:rFonts w:ascii="Arial" w:hAnsi="Arial" w:cs="Arial"/>
              </w:rPr>
            </w:pPr>
            <w:r>
              <w:rPr>
                <w:rFonts w:ascii="Arial" w:hAnsi="Arial" w:cs="Arial"/>
              </w:rPr>
              <w:t>15%</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b/>
              </w:rPr>
            </w:pPr>
            <w:r w:rsidRPr="00C95B81">
              <w:rPr>
                <w:rFonts w:ascii="Arial" w:hAnsi="Arial" w:cs="Arial"/>
              </w:rPr>
              <w:t>Video Report</w:t>
            </w:r>
            <w:r w:rsidRPr="00C95B81">
              <w:rPr>
                <w:rFonts w:ascii="Arial" w:hAnsi="Arial" w:cs="Arial"/>
              </w:rPr>
              <w:tab/>
            </w:r>
          </w:p>
        </w:tc>
        <w:tc>
          <w:tcPr>
            <w:tcW w:w="4397" w:type="dxa"/>
            <w:gridSpan w:val="2"/>
          </w:tcPr>
          <w:p w:rsidR="000D476C" w:rsidRPr="00C95B81" w:rsidRDefault="000D476C" w:rsidP="000D476C">
            <w:pPr>
              <w:rPr>
                <w:rFonts w:ascii="Arial" w:hAnsi="Arial" w:cs="Arial"/>
                <w:b/>
              </w:rPr>
            </w:pPr>
            <w:r w:rsidRPr="00C95B81">
              <w:rPr>
                <w:rFonts w:ascii="Arial" w:hAnsi="Arial" w:cs="Arial"/>
              </w:rPr>
              <w:t>1</w:t>
            </w:r>
            <w:r>
              <w:rPr>
                <w:rFonts w:ascii="Arial" w:hAnsi="Arial" w:cs="Arial"/>
              </w:rPr>
              <w:t>5</w:t>
            </w:r>
            <w:r w:rsidRPr="00C95B81">
              <w:rPr>
                <w:rFonts w:ascii="Arial" w:hAnsi="Arial"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pStyle w:val="EnvelopeReturn"/>
              <w:spacing w:line="360" w:lineRule="auto"/>
              <w:rPr>
                <w:rFonts w:cs="Arial"/>
              </w:rPr>
            </w:pPr>
            <w:r w:rsidRPr="00C95B81">
              <w:rPr>
                <w:rFonts w:cs="Arial"/>
              </w:rPr>
              <w:t xml:space="preserve">Aboriginal Mental Health </w:t>
            </w:r>
            <w:r>
              <w:rPr>
                <w:rFonts w:cs="Arial"/>
              </w:rPr>
              <w:t xml:space="preserve">Project </w:t>
            </w:r>
            <w:r w:rsidRPr="00C95B81">
              <w:rPr>
                <w:rFonts w:cs="Arial"/>
              </w:rPr>
              <w:t xml:space="preserve">           </w:t>
            </w:r>
          </w:p>
        </w:tc>
        <w:tc>
          <w:tcPr>
            <w:tcW w:w="4397" w:type="dxa"/>
            <w:gridSpan w:val="2"/>
          </w:tcPr>
          <w:p w:rsidR="000D476C" w:rsidRPr="00C95B81" w:rsidRDefault="000D476C" w:rsidP="000D476C">
            <w:pPr>
              <w:pStyle w:val="EnvelopeReturn"/>
              <w:spacing w:line="360" w:lineRule="auto"/>
              <w:rPr>
                <w:rFonts w:cs="Arial"/>
              </w:rPr>
            </w:pPr>
            <w:r w:rsidRPr="00C95B81">
              <w:rPr>
                <w:rFonts w:cs="Arial"/>
              </w:rPr>
              <w:t>2</w:t>
            </w:r>
            <w:r>
              <w:rPr>
                <w:rFonts w:cs="Arial"/>
              </w:rPr>
              <w:t>5</w:t>
            </w:r>
            <w:r w:rsidRPr="00C95B81">
              <w:rPr>
                <w:rFonts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b/>
              </w:rPr>
            </w:pPr>
            <w:r w:rsidRPr="00C95B81">
              <w:rPr>
                <w:rFonts w:ascii="Arial" w:hAnsi="Arial" w:cs="Arial"/>
              </w:rPr>
              <w:t>Quizzes</w:t>
            </w:r>
            <w:r>
              <w:rPr>
                <w:rFonts w:ascii="Arial" w:hAnsi="Arial" w:cs="Arial"/>
              </w:rPr>
              <w:t xml:space="preserve"> (3 x 10%)</w:t>
            </w:r>
          </w:p>
        </w:tc>
        <w:tc>
          <w:tcPr>
            <w:tcW w:w="4397" w:type="dxa"/>
            <w:gridSpan w:val="2"/>
          </w:tcPr>
          <w:p w:rsidR="000D476C" w:rsidRPr="00C95B81" w:rsidRDefault="000D476C" w:rsidP="000D476C">
            <w:pPr>
              <w:rPr>
                <w:rFonts w:ascii="Arial" w:hAnsi="Arial" w:cs="Arial"/>
                <w:b/>
              </w:rPr>
            </w:pPr>
            <w:r>
              <w:rPr>
                <w:rFonts w:ascii="Arial" w:hAnsi="Arial" w:cs="Arial"/>
              </w:rPr>
              <w:t>30</w:t>
            </w:r>
            <w:r w:rsidRPr="00C95B81">
              <w:rPr>
                <w:rFonts w:ascii="Arial" w:hAnsi="Arial"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597383" w:rsidRDefault="000D476C" w:rsidP="000D476C">
            <w:pPr>
              <w:pStyle w:val="EnvelopeReturn"/>
              <w:spacing w:line="360" w:lineRule="auto"/>
              <w:rPr>
                <w:rFonts w:cs="Arial"/>
                <w:u w:val="single"/>
              </w:rPr>
            </w:pPr>
            <w:r w:rsidRPr="00597383">
              <w:rPr>
                <w:rFonts w:cs="Arial"/>
                <w:u w:val="single"/>
              </w:rPr>
              <w:t xml:space="preserve">Legislation Assignment     </w:t>
            </w:r>
          </w:p>
        </w:tc>
        <w:tc>
          <w:tcPr>
            <w:tcW w:w="4397" w:type="dxa"/>
            <w:gridSpan w:val="2"/>
          </w:tcPr>
          <w:p w:rsidR="000D476C" w:rsidRPr="00597383" w:rsidRDefault="000D476C" w:rsidP="000D476C">
            <w:pPr>
              <w:rPr>
                <w:rFonts w:ascii="Arial" w:hAnsi="Arial" w:cs="Arial"/>
                <w:b/>
                <w:u w:val="single"/>
              </w:rPr>
            </w:pPr>
            <w:r w:rsidRPr="00597383">
              <w:rPr>
                <w:rFonts w:ascii="Arial" w:hAnsi="Arial" w:cs="Arial"/>
                <w:u w:val="single"/>
              </w:rPr>
              <w:t>15%</w:t>
            </w:r>
            <w:r w:rsidRPr="00597383">
              <w:rPr>
                <w:rFonts w:ascii="Arial" w:hAnsi="Arial" w:cs="Arial"/>
                <w:b/>
                <w:bCs/>
                <w:u w:val="single"/>
              </w:rPr>
              <w:tab/>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pStyle w:val="EnvelopeReturn"/>
              <w:spacing w:line="360" w:lineRule="auto"/>
              <w:rPr>
                <w:rFonts w:cs="Arial"/>
              </w:rPr>
            </w:pPr>
            <w:r>
              <w:rPr>
                <w:rFonts w:cs="Arial"/>
              </w:rPr>
              <w:t>TOTAL</w:t>
            </w:r>
          </w:p>
        </w:tc>
        <w:tc>
          <w:tcPr>
            <w:tcW w:w="4397" w:type="dxa"/>
            <w:gridSpan w:val="2"/>
          </w:tcPr>
          <w:p w:rsidR="000D476C" w:rsidRPr="00C95B81" w:rsidRDefault="000D476C" w:rsidP="000D476C">
            <w:pPr>
              <w:rPr>
                <w:rFonts w:ascii="Arial" w:hAnsi="Arial" w:cs="Arial"/>
              </w:rPr>
            </w:pPr>
            <w:r>
              <w:rPr>
                <w:rFonts w:ascii="Arial" w:hAnsi="Arial" w:cs="Arial"/>
              </w:rPr>
              <w:t>100%</w:t>
            </w:r>
          </w:p>
        </w:tc>
      </w:tr>
    </w:tbl>
    <w:p w:rsidR="000D476C" w:rsidRDefault="000D476C"/>
    <w:tbl>
      <w:tblPr>
        <w:tblW w:w="0" w:type="auto"/>
        <w:tblLayout w:type="fixed"/>
        <w:tblLook w:val="0000" w:firstRow="0" w:lastRow="0" w:firstColumn="0" w:lastColumn="0" w:noHBand="0" w:noVBand="0"/>
      </w:tblPr>
      <w:tblGrid>
        <w:gridCol w:w="675"/>
        <w:gridCol w:w="8181"/>
      </w:tblGrid>
      <w:tr w:rsidR="000D476C" w:rsidTr="00C514B8">
        <w:trPr>
          <w:cantSplit/>
        </w:trPr>
        <w:tc>
          <w:tcPr>
            <w:tcW w:w="675" w:type="dxa"/>
          </w:tcPr>
          <w:p w:rsidR="000D476C" w:rsidRDefault="000D476C">
            <w:pPr>
              <w:rPr>
                <w:rFonts w:ascii="Arial" w:hAnsi="Arial"/>
                <w:b/>
              </w:rPr>
            </w:pPr>
          </w:p>
        </w:tc>
        <w:tc>
          <w:tcPr>
            <w:tcW w:w="8181" w:type="dxa"/>
          </w:tcPr>
          <w:p w:rsidR="000D476C" w:rsidRDefault="000D476C">
            <w:pPr>
              <w:rPr>
                <w:rFonts w:ascii="Arial" w:hAnsi="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0E5E9A" w:rsidRDefault="000D476C" w:rsidP="000D476C">
            <w:pPr>
              <w:pStyle w:val="EnvelopeReturn"/>
              <w:rPr>
                <w:rFonts w:cs="Arial"/>
              </w:rPr>
            </w:pPr>
            <w:r>
              <w:rPr>
                <w:rFonts w:cs="Arial"/>
                <w:b/>
              </w:rPr>
              <w:t xml:space="preserve">PSYCHIATRIC DISORDER PRESENTATION: </w:t>
            </w:r>
            <w:r>
              <w:rPr>
                <w:rFonts w:cs="Arial"/>
              </w:rPr>
              <w:t xml:space="preserve"> Students will research an assigned psychiatric disorder and present information to the class.  </w:t>
            </w:r>
            <w:r>
              <w:rPr>
                <w:rFonts w:cs="Arial"/>
                <w:bCs/>
              </w:rPr>
              <w:t xml:space="preserve">Details will be provided by professor.    </w:t>
            </w:r>
            <w:r>
              <w:rPr>
                <w:rFonts w:cs="Arial"/>
              </w:rPr>
              <w:t xml:space="preserve">  </w:t>
            </w:r>
          </w:p>
          <w:p w:rsidR="000D476C" w:rsidRDefault="000D476C" w:rsidP="000D476C">
            <w:pPr>
              <w:pStyle w:val="EnvelopeReturn"/>
              <w:rPr>
                <w:rFonts w:cs="Arial"/>
                <w:b/>
              </w:rPr>
            </w:pPr>
          </w:p>
          <w:p w:rsidR="000D476C" w:rsidRPr="00350987" w:rsidRDefault="000D476C" w:rsidP="000D476C">
            <w:pPr>
              <w:pStyle w:val="EnvelopeReturn"/>
              <w:rPr>
                <w:rFonts w:cs="Arial"/>
                <w:b/>
              </w:rPr>
            </w:pPr>
            <w:r w:rsidRPr="00350987">
              <w:rPr>
                <w:rFonts w:cs="Arial"/>
                <w:b/>
              </w:rPr>
              <w:t>VIDEO REPORT:</w:t>
            </w:r>
            <w:r w:rsidRPr="00350987">
              <w:rPr>
                <w:rFonts w:cs="Arial"/>
              </w:rPr>
              <w:t xml:space="preserve"> Students will view a video in class and apply information from course </w:t>
            </w:r>
            <w:r>
              <w:rPr>
                <w:rFonts w:cs="Arial"/>
              </w:rPr>
              <w:t xml:space="preserve">material </w:t>
            </w:r>
            <w:r w:rsidRPr="00350987">
              <w:rPr>
                <w:rFonts w:cs="Arial"/>
              </w:rPr>
              <w:t xml:space="preserve">to complete </w:t>
            </w:r>
            <w:r>
              <w:rPr>
                <w:rFonts w:cs="Arial"/>
              </w:rPr>
              <w:t xml:space="preserve">the </w:t>
            </w:r>
            <w:r w:rsidRPr="00350987">
              <w:rPr>
                <w:rFonts w:cs="Arial"/>
              </w:rPr>
              <w:t xml:space="preserve">assignment.  </w:t>
            </w:r>
            <w:r>
              <w:rPr>
                <w:rFonts w:cs="Arial"/>
                <w:bCs/>
              </w:rPr>
              <w:t xml:space="preserve">Details will be provided by professor.    </w:t>
            </w:r>
          </w:p>
          <w:p w:rsidR="000D476C" w:rsidRPr="00366647" w:rsidRDefault="000D476C" w:rsidP="000D476C">
            <w:pPr>
              <w:pStyle w:val="EnvelopeReturn"/>
              <w:rPr>
                <w:rFonts w:cs="Arial"/>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350987" w:rsidRDefault="000D476C" w:rsidP="000D476C">
            <w:pPr>
              <w:pStyle w:val="EnvelopeReturn"/>
              <w:rPr>
                <w:rFonts w:cs="Arial"/>
              </w:rPr>
            </w:pPr>
            <w:r w:rsidRPr="00350987">
              <w:rPr>
                <w:rFonts w:cs="Arial"/>
                <w:b/>
              </w:rPr>
              <w:t xml:space="preserve">ABORIGINAL MENTAL HEALTH </w:t>
            </w:r>
            <w:r>
              <w:rPr>
                <w:rFonts w:cs="Arial"/>
                <w:b/>
              </w:rPr>
              <w:t>PROJECT</w:t>
            </w:r>
            <w:r w:rsidRPr="00350987">
              <w:rPr>
                <w:rFonts w:cs="Arial"/>
                <w:b/>
              </w:rPr>
              <w:t>:</w:t>
            </w:r>
            <w:r w:rsidRPr="00350987">
              <w:rPr>
                <w:rFonts w:cs="Arial"/>
              </w:rPr>
              <w:t xml:space="preserve">  Students </w:t>
            </w:r>
            <w:r>
              <w:rPr>
                <w:rFonts w:cs="Arial"/>
              </w:rPr>
              <w:t xml:space="preserve">will use creative methods to present information </w:t>
            </w:r>
            <w:r w:rsidRPr="00350987">
              <w:rPr>
                <w:rFonts w:cs="Arial"/>
              </w:rPr>
              <w:t xml:space="preserve">focusing on </w:t>
            </w:r>
            <w:r>
              <w:rPr>
                <w:rFonts w:cs="Arial"/>
              </w:rPr>
              <w:t xml:space="preserve">raising awareness of </w:t>
            </w:r>
            <w:r w:rsidRPr="00350987">
              <w:rPr>
                <w:rFonts w:cs="Arial"/>
              </w:rPr>
              <w:t xml:space="preserve">Aboriginal </w:t>
            </w:r>
            <w:r>
              <w:rPr>
                <w:rFonts w:cs="Arial"/>
              </w:rPr>
              <w:t>perspectives on m</w:t>
            </w:r>
            <w:r w:rsidRPr="00350987">
              <w:rPr>
                <w:rFonts w:cs="Arial"/>
              </w:rPr>
              <w:t xml:space="preserve">ental </w:t>
            </w:r>
            <w:r>
              <w:rPr>
                <w:rFonts w:cs="Arial"/>
              </w:rPr>
              <w:t>h</w:t>
            </w:r>
            <w:r w:rsidRPr="00350987">
              <w:rPr>
                <w:rFonts w:cs="Arial"/>
              </w:rPr>
              <w:t>ealth</w:t>
            </w:r>
            <w:r>
              <w:rPr>
                <w:rFonts w:cs="Arial"/>
              </w:rPr>
              <w:t xml:space="preserve">.  This includes traditional healing approaches and the spiritual component of healing.  Students are encouraged to access traditional knowledge carriers/healers and resource materials to gain an understanding of Aboriginal mental health.  Presentation methods may include the creation of a game, a storybook or a video.  Details will be provided by professor. </w:t>
            </w:r>
            <w:r w:rsidRPr="00350987">
              <w:rPr>
                <w:rFonts w:cs="Arial"/>
              </w:rPr>
              <w:t xml:space="preserve">  </w:t>
            </w:r>
            <w:r>
              <w:rPr>
                <w:rFonts w:cs="Arial"/>
              </w:rPr>
              <w:t xml:space="preserve">  </w:t>
            </w:r>
          </w:p>
          <w:p w:rsidR="000D476C" w:rsidRDefault="000D476C" w:rsidP="000D476C">
            <w:pPr>
              <w:rPr>
                <w:rFonts w:ascii="Arial" w:hAnsi="Arial" w:cs="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350987" w:rsidRDefault="000D476C" w:rsidP="000D476C">
            <w:pPr>
              <w:rPr>
                <w:rFonts w:ascii="Arial" w:hAnsi="Arial" w:cs="Arial"/>
                <w:bCs/>
              </w:rPr>
            </w:pPr>
            <w:r>
              <w:rPr>
                <w:rFonts w:ascii="Arial" w:hAnsi="Arial" w:cs="Arial"/>
                <w:b/>
              </w:rPr>
              <w:t>QUIZZES:</w:t>
            </w:r>
            <w:r w:rsidRPr="00350987">
              <w:rPr>
                <w:rFonts w:ascii="Arial" w:hAnsi="Arial" w:cs="Arial"/>
                <w:bCs/>
              </w:rPr>
              <w:t xml:space="preserve">  </w:t>
            </w:r>
            <w:r>
              <w:rPr>
                <w:rFonts w:ascii="Arial" w:hAnsi="Arial" w:cs="Arial"/>
                <w:bCs/>
              </w:rPr>
              <w:t xml:space="preserve">Students will be assigned readings throughout the semester.  There will be three quizzes based on the readings and material presented in class.  Details will be provided by professor.    </w:t>
            </w:r>
          </w:p>
          <w:p w:rsidR="000D476C" w:rsidRPr="00350987" w:rsidRDefault="000D476C" w:rsidP="000D476C">
            <w:pPr>
              <w:pStyle w:val="EnvelopeReturn"/>
              <w:rPr>
                <w:rFonts w:cs="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6A3F76" w:rsidRDefault="000D476C" w:rsidP="000D476C">
            <w:pPr>
              <w:pStyle w:val="EnvelopeReturn"/>
              <w:rPr>
                <w:rFonts w:cs="Arial"/>
              </w:rPr>
            </w:pPr>
            <w:r w:rsidRPr="00350987">
              <w:rPr>
                <w:rFonts w:cs="Arial"/>
                <w:b/>
              </w:rPr>
              <w:t xml:space="preserve">LEGISLATION </w:t>
            </w:r>
            <w:r>
              <w:rPr>
                <w:rFonts w:cs="Arial"/>
                <w:b/>
              </w:rPr>
              <w:t>ASSIGNMENT</w:t>
            </w:r>
            <w:r w:rsidRPr="00350987">
              <w:rPr>
                <w:rFonts w:cs="Arial"/>
                <w:b/>
              </w:rPr>
              <w:t>:</w:t>
            </w:r>
            <w:r w:rsidRPr="00350987">
              <w:rPr>
                <w:rFonts w:cs="Arial"/>
              </w:rPr>
              <w:t xml:space="preserve"> </w:t>
            </w:r>
            <w:r>
              <w:rPr>
                <w:rFonts w:cs="Arial"/>
              </w:rPr>
              <w:t xml:space="preserve">Students will research the Ontario Mental Health Act and complete a series of questions relating to </w:t>
            </w:r>
            <w:r w:rsidRPr="00350987">
              <w:rPr>
                <w:rFonts w:cs="Arial"/>
              </w:rPr>
              <w:t>legislation and policy</w:t>
            </w:r>
            <w:r>
              <w:rPr>
                <w:rFonts w:cs="Arial"/>
              </w:rPr>
              <w:t xml:space="preserve">.  </w:t>
            </w:r>
            <w:r w:rsidRPr="00350987">
              <w:rPr>
                <w:rFonts w:cs="Arial"/>
              </w:rPr>
              <w:t xml:space="preserve"> This assignment will use resources/web links pro</w:t>
            </w:r>
            <w:r>
              <w:rPr>
                <w:rFonts w:cs="Arial"/>
              </w:rPr>
              <w:t xml:space="preserve">vided in class.  Assignment questions will be completed online.  </w:t>
            </w:r>
            <w:r>
              <w:rPr>
                <w:rFonts w:cs="Arial"/>
                <w:bCs/>
              </w:rPr>
              <w:t xml:space="preserve">Details will be provided by professor.    </w:t>
            </w:r>
            <w:r>
              <w:rPr>
                <w:rFonts w:cs="Arial"/>
              </w:rPr>
              <w:t xml:space="preserve"> </w:t>
            </w:r>
          </w:p>
        </w:tc>
      </w:tr>
    </w:tbl>
    <w:p w:rsidR="00872BB6" w:rsidRDefault="00872BB6">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with extenuating circumstances giving a student additional time to complete the </w:t>
            </w:r>
            <w:r>
              <w:rPr>
                <w:rFonts w:ascii="Arial" w:hAnsi="Arial" w:cs="Arial"/>
              </w:rPr>
              <w:lastRenderedPageBreak/>
              <w:t>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143C1" w:rsidRPr="005143C1" w:rsidRDefault="005143C1" w:rsidP="005143C1">
      <w:pPr>
        <w:rPr>
          <w:rFonts w:ascii="Arial" w:hAnsi="Arial" w:cs="Arial"/>
        </w:rPr>
      </w:pPr>
    </w:p>
    <w:tbl>
      <w:tblPr>
        <w:tblW w:w="0" w:type="auto"/>
        <w:tblLayout w:type="fixed"/>
        <w:tblLook w:val="0000" w:firstRow="0" w:lastRow="0" w:firstColumn="0" w:lastColumn="0" w:noHBand="0" w:noVBand="0"/>
      </w:tblPr>
      <w:tblGrid>
        <w:gridCol w:w="8856"/>
      </w:tblGrid>
      <w:tr w:rsidR="00B6361E" w:rsidTr="00466E15">
        <w:tc>
          <w:tcPr>
            <w:tcW w:w="8856" w:type="dxa"/>
          </w:tcPr>
          <w:p w:rsidR="00B6361E" w:rsidRPr="00D060E9" w:rsidRDefault="00B6361E" w:rsidP="00466E15">
            <w:pPr>
              <w:rPr>
                <w:rFonts w:ascii="Arial" w:hAnsi="Arial" w:cs="Arial"/>
              </w:rPr>
            </w:pPr>
            <w:r w:rsidRPr="00D060E9">
              <w:rPr>
                <w:rFonts w:ascii="Arial" w:hAnsi="Arial" w:cs="Arial"/>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B6361E" w:rsidRPr="00D060E9" w:rsidRDefault="00B6361E" w:rsidP="00466E15">
            <w:pPr>
              <w:rPr>
                <w:rFonts w:ascii="Arial" w:hAnsi="Arial" w:cs="Arial"/>
              </w:rPr>
            </w:pPr>
          </w:p>
          <w:p w:rsidR="00B6361E" w:rsidRPr="00D060E9" w:rsidRDefault="00B6361E" w:rsidP="00466E15">
            <w:pPr>
              <w:rPr>
                <w:rFonts w:ascii="Arial" w:hAnsi="Arial" w:cs="Arial"/>
              </w:rPr>
            </w:pPr>
            <w:r w:rsidRPr="00D060E9">
              <w:rPr>
                <w:rFonts w:ascii="Arial" w:hAnsi="Arial" w:cs="Arial"/>
              </w:rPr>
              <w:t xml:space="preserve">It is also important to note, that the minimum overall GPA required in order </w:t>
            </w:r>
            <w:proofErr w:type="gramStart"/>
            <w:r w:rsidRPr="00D060E9">
              <w:rPr>
                <w:rFonts w:ascii="Arial" w:hAnsi="Arial" w:cs="Arial"/>
              </w:rPr>
              <w:t>to graduate</w:t>
            </w:r>
            <w:proofErr w:type="gramEnd"/>
            <w:r w:rsidRPr="00D060E9">
              <w:rPr>
                <w:rFonts w:ascii="Arial" w:hAnsi="Arial" w:cs="Arial"/>
              </w:rPr>
              <w:t xml:space="preserve"> from a Sault College program remains 2.0.</w:t>
            </w:r>
          </w:p>
        </w:tc>
      </w:tr>
    </w:tbl>
    <w:p w:rsidR="00B6361E" w:rsidRDefault="00B6361E" w:rsidP="00B6361E">
      <w:pPr>
        <w:rPr>
          <w:rFonts w:ascii="Arial" w:hAnsi="Arial" w:cs="Arial"/>
        </w:rPr>
      </w:pPr>
    </w:p>
    <w:tbl>
      <w:tblPr>
        <w:tblW w:w="0" w:type="auto"/>
        <w:tblInd w:w="108" w:type="dxa"/>
        <w:tblLayout w:type="fixed"/>
        <w:tblLook w:val="0000" w:firstRow="0" w:lastRow="0" w:firstColumn="0" w:lastColumn="0" w:noHBand="0" w:noVBand="0"/>
      </w:tblPr>
      <w:tblGrid>
        <w:gridCol w:w="567"/>
        <w:gridCol w:w="8163"/>
        <w:gridCol w:w="18"/>
      </w:tblGrid>
      <w:tr w:rsidR="00B6361E" w:rsidTr="00466E15">
        <w:trPr>
          <w:cantSplit/>
        </w:trPr>
        <w:tc>
          <w:tcPr>
            <w:tcW w:w="567" w:type="dxa"/>
          </w:tcPr>
          <w:p w:rsidR="00B6361E" w:rsidRDefault="00B6361E" w:rsidP="00466E15">
            <w:pPr>
              <w:rPr>
                <w:rFonts w:ascii="Arial" w:hAnsi="Arial"/>
                <w:b/>
              </w:rPr>
            </w:pPr>
            <w:r>
              <w:rPr>
                <w:rFonts w:ascii="Arial" w:hAnsi="Arial"/>
                <w:b/>
              </w:rPr>
              <w:t>VI.</w:t>
            </w:r>
          </w:p>
        </w:tc>
        <w:tc>
          <w:tcPr>
            <w:tcW w:w="8181" w:type="dxa"/>
            <w:gridSpan w:val="2"/>
          </w:tcPr>
          <w:p w:rsidR="00B6361E" w:rsidRDefault="00B6361E" w:rsidP="00466E15">
            <w:pPr>
              <w:rPr>
                <w:rFonts w:ascii="Arial" w:hAnsi="Arial"/>
                <w:b/>
              </w:rPr>
            </w:pPr>
            <w:r>
              <w:rPr>
                <w:rFonts w:ascii="Arial" w:hAnsi="Arial"/>
                <w:b/>
              </w:rPr>
              <w:t>SPECIAL NOTES:</w:t>
            </w:r>
          </w:p>
          <w:p w:rsidR="00B6361E" w:rsidRDefault="00B6361E" w:rsidP="00466E15">
            <w:pPr>
              <w:rPr>
                <w:rFonts w:ascii="Arial" w:hAnsi="Arial"/>
              </w:rPr>
            </w:pPr>
          </w:p>
        </w:tc>
      </w:tr>
      <w:tr w:rsidR="00B6361E" w:rsidRPr="00723208" w:rsidTr="00466E15">
        <w:trPr>
          <w:gridAfter w:val="1"/>
          <w:wAfter w:w="18" w:type="dxa"/>
          <w:cantSplit/>
        </w:trPr>
        <w:tc>
          <w:tcPr>
            <w:tcW w:w="8730" w:type="dxa"/>
            <w:gridSpan w:val="2"/>
          </w:tcPr>
          <w:p w:rsidR="00B6361E" w:rsidRDefault="00B6361E" w:rsidP="00466E15">
            <w:pPr>
              <w:rPr>
                <w:rFonts w:ascii="Arial" w:hAnsi="Arial" w:cs="Arial"/>
                <w:szCs w:val="24"/>
                <w:u w:val="single"/>
              </w:rPr>
            </w:pPr>
            <w:r>
              <w:rPr>
                <w:rFonts w:ascii="Arial" w:hAnsi="Arial" w:cs="Arial"/>
                <w:szCs w:val="24"/>
                <w:u w:val="single"/>
              </w:rPr>
              <w:t>Attendance:</w:t>
            </w:r>
          </w:p>
          <w:p w:rsidR="00B6361E" w:rsidRDefault="00B6361E" w:rsidP="00466E15">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6361E" w:rsidRDefault="00B6361E" w:rsidP="00466E15">
            <w:pPr>
              <w:rPr>
                <w:rFonts w:ascii="Arial" w:hAnsi="Arial"/>
              </w:rPr>
            </w:pPr>
          </w:p>
        </w:tc>
      </w:tr>
      <w:tr w:rsidR="00B6361E" w:rsidRPr="00723208" w:rsidTr="00466E15">
        <w:trPr>
          <w:gridAfter w:val="1"/>
          <w:wAfter w:w="18" w:type="dxa"/>
          <w:cantSplit/>
        </w:trPr>
        <w:tc>
          <w:tcPr>
            <w:tcW w:w="8730" w:type="dxa"/>
            <w:gridSpan w:val="2"/>
          </w:tcPr>
          <w:p w:rsidR="00B6361E" w:rsidRPr="00822C9E" w:rsidRDefault="00B6361E" w:rsidP="00466E15">
            <w:pPr>
              <w:pStyle w:val="EnvelopeReturn"/>
              <w:rPr>
                <w:u w:val="single"/>
              </w:rPr>
            </w:pPr>
            <w:r w:rsidRPr="00822C9E">
              <w:rPr>
                <w:u w:val="single"/>
              </w:rPr>
              <w:t>LMS/D2L - - MOODLE</w:t>
            </w:r>
          </w:p>
          <w:p w:rsidR="00B6361E" w:rsidRDefault="00B6361E" w:rsidP="00466E15">
            <w:pPr>
              <w:pStyle w:val="EnvelopeReturn"/>
            </w:pPr>
          </w:p>
          <w:p w:rsidR="00B6361E" w:rsidRPr="00822C9E" w:rsidRDefault="00B6361E" w:rsidP="00466E15">
            <w:pPr>
              <w:pStyle w:val="EnvelopeReturn"/>
            </w:pPr>
            <w:r>
              <w:t xml:space="preserve">Any reference is D2L is the Learning Management System (LMS) used by Sault campus students.  MOODLE is the equivalent to the Sault campus D2L and will be used for the Thunder Bay Delivery. For any reference to D2L Thunder Bay students will use MOODLE. </w:t>
            </w:r>
          </w:p>
        </w:tc>
      </w:tr>
    </w:tbl>
    <w:p w:rsidR="00B6361E" w:rsidRDefault="00B6361E" w:rsidP="00B6361E"/>
    <w:tbl>
      <w:tblPr>
        <w:tblW w:w="0" w:type="auto"/>
        <w:tblLayout w:type="fixed"/>
        <w:tblLook w:val="0000" w:firstRow="0" w:lastRow="0" w:firstColumn="0" w:lastColumn="0" w:noHBand="0" w:noVBand="0"/>
      </w:tblPr>
      <w:tblGrid>
        <w:gridCol w:w="675"/>
        <w:gridCol w:w="8181"/>
      </w:tblGrid>
      <w:tr w:rsidR="00B6361E" w:rsidRPr="001F503D" w:rsidTr="00466E15">
        <w:trPr>
          <w:cantSplit/>
        </w:trPr>
        <w:tc>
          <w:tcPr>
            <w:tcW w:w="675" w:type="dxa"/>
          </w:tcPr>
          <w:p w:rsidR="00B6361E" w:rsidRPr="001F503D" w:rsidRDefault="00B6361E" w:rsidP="00466E15">
            <w:pPr>
              <w:rPr>
                <w:rFonts w:ascii="Arial" w:hAnsi="Arial"/>
                <w:b/>
              </w:rPr>
            </w:pPr>
            <w:r w:rsidRPr="001F503D">
              <w:rPr>
                <w:rFonts w:ascii="Arial" w:hAnsi="Arial"/>
                <w:b/>
              </w:rPr>
              <w:t>VII.</w:t>
            </w:r>
          </w:p>
        </w:tc>
        <w:tc>
          <w:tcPr>
            <w:tcW w:w="8181" w:type="dxa"/>
          </w:tcPr>
          <w:p w:rsidR="00B6361E" w:rsidRDefault="00B6361E" w:rsidP="00466E15">
            <w:pPr>
              <w:rPr>
                <w:rFonts w:ascii="Arial" w:hAnsi="Arial"/>
                <w:b/>
              </w:rPr>
            </w:pPr>
            <w:r>
              <w:rPr>
                <w:rFonts w:ascii="Arial" w:hAnsi="Arial"/>
                <w:b/>
              </w:rPr>
              <w:t xml:space="preserve">COURSE OUTLINE </w:t>
            </w:r>
            <w:r w:rsidRPr="001F503D">
              <w:rPr>
                <w:rFonts w:ascii="Arial" w:hAnsi="Arial"/>
                <w:b/>
              </w:rPr>
              <w:t>ADDENDUM:</w:t>
            </w:r>
          </w:p>
          <w:p w:rsidR="00B6361E" w:rsidRPr="001F503D" w:rsidRDefault="00B6361E" w:rsidP="00466E15">
            <w:pPr>
              <w:rPr>
                <w:rFonts w:ascii="Arial" w:hAnsi="Arial"/>
                <w:b/>
              </w:rPr>
            </w:pPr>
          </w:p>
        </w:tc>
      </w:tr>
      <w:tr w:rsidR="00B6361E" w:rsidRPr="001F503D" w:rsidTr="00466E15">
        <w:trPr>
          <w:cantSplit/>
          <w:trHeight w:val="198"/>
        </w:trPr>
        <w:tc>
          <w:tcPr>
            <w:tcW w:w="675" w:type="dxa"/>
          </w:tcPr>
          <w:p w:rsidR="00B6361E" w:rsidRDefault="00B6361E" w:rsidP="00466E15">
            <w:pPr>
              <w:rPr>
                <w:rFonts w:ascii="Arial" w:hAnsi="Arial"/>
              </w:rPr>
            </w:pPr>
          </w:p>
        </w:tc>
        <w:tc>
          <w:tcPr>
            <w:tcW w:w="8181" w:type="dxa"/>
          </w:tcPr>
          <w:p w:rsidR="00B6361E" w:rsidRPr="001F503D" w:rsidRDefault="00B6361E" w:rsidP="00466E15">
            <w:pPr>
              <w:rPr>
                <w:rFonts w:ascii="Arial" w:hAnsi="Arial"/>
              </w:rPr>
            </w:pPr>
            <w:r>
              <w:rPr>
                <w:rFonts w:ascii="Arial" w:hAnsi="Arial"/>
              </w:rPr>
              <w:t>The provisions contained in the addendum located in D2L and on the portal form part of this course outline.</w:t>
            </w:r>
          </w:p>
        </w:tc>
      </w:tr>
    </w:tbl>
    <w:p w:rsidR="00B6361E" w:rsidRDefault="00B6361E" w:rsidP="00B6361E">
      <w:pPr>
        <w:pStyle w:val="EnvelopeReturn"/>
      </w:pPr>
    </w:p>
    <w:p w:rsidR="00B6361E" w:rsidRDefault="00B6361E" w:rsidP="00B6361E">
      <w:pPr>
        <w:pStyle w:val="EnvelopeReturn"/>
      </w:pPr>
    </w:p>
    <w:p w:rsidR="00B6361E" w:rsidRDefault="00B6361E" w:rsidP="00B6361E"/>
    <w:p w:rsidR="00A55EF9" w:rsidRDefault="00A55EF9">
      <w:pPr>
        <w:rPr>
          <w:rFonts w:ascii="Arial" w:hAnsi="Arial"/>
          <w:u w:val="single"/>
        </w:rPr>
      </w:pPr>
    </w:p>
    <w:p w:rsidR="00D5342F" w:rsidRDefault="00D5342F">
      <w:pPr>
        <w:rPr>
          <w:rFonts w:ascii="Arial" w:hAnsi="Arial" w:cs="Arial"/>
        </w:rPr>
      </w:pPr>
    </w:p>
    <w:sectPr w:rsidR="00D5342F" w:rsidSect="00743D70">
      <w:headerReference w:type="even" r:id="rId9"/>
      <w:headerReference w:type="default" r:id="rId10"/>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6C" w:rsidRDefault="000D476C">
      <w:r>
        <w:separator/>
      </w:r>
    </w:p>
  </w:endnote>
  <w:endnote w:type="continuationSeparator" w:id="0">
    <w:p w:rsidR="000D476C" w:rsidRDefault="000D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00" w:usb2="0001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6C" w:rsidRDefault="000D476C">
      <w:r>
        <w:separator/>
      </w:r>
    </w:p>
  </w:footnote>
  <w:footnote w:type="continuationSeparator" w:id="0">
    <w:p w:rsidR="000D476C" w:rsidRDefault="000D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6C" w:rsidRDefault="000D47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76C" w:rsidRDefault="000D4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6C" w:rsidRDefault="000D47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084">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D476C">
      <w:tc>
        <w:tcPr>
          <w:tcW w:w="3794" w:type="dxa"/>
        </w:tcPr>
        <w:p w:rsidR="000D476C" w:rsidRDefault="000D476C">
          <w:pPr>
            <w:rPr>
              <w:rFonts w:ascii="Arial" w:hAnsi="Arial"/>
              <w:snapToGrid w:val="0"/>
            </w:rPr>
          </w:pPr>
        </w:p>
      </w:tc>
      <w:tc>
        <w:tcPr>
          <w:tcW w:w="1134" w:type="dxa"/>
        </w:tcPr>
        <w:p w:rsidR="000D476C" w:rsidRDefault="000D476C">
          <w:pPr>
            <w:pStyle w:val="Header"/>
            <w:jc w:val="center"/>
            <w:rPr>
              <w:rFonts w:ascii="Arial" w:hAnsi="Arial"/>
              <w:snapToGrid w:val="0"/>
            </w:rPr>
          </w:pPr>
        </w:p>
      </w:tc>
      <w:tc>
        <w:tcPr>
          <w:tcW w:w="3928" w:type="dxa"/>
        </w:tcPr>
        <w:p w:rsidR="000D476C" w:rsidRDefault="000D476C">
          <w:pPr>
            <w:pStyle w:val="Header"/>
            <w:jc w:val="right"/>
            <w:rPr>
              <w:rFonts w:ascii="Arial" w:hAnsi="Arial"/>
              <w:snapToGrid w:val="0"/>
            </w:rPr>
          </w:pPr>
        </w:p>
      </w:tc>
    </w:tr>
    <w:tr w:rsidR="000D476C">
      <w:tc>
        <w:tcPr>
          <w:tcW w:w="3794" w:type="dxa"/>
        </w:tcPr>
        <w:p w:rsidR="000D476C" w:rsidRDefault="000D476C">
          <w:pPr>
            <w:rPr>
              <w:rFonts w:ascii="Arial" w:hAnsi="Arial"/>
              <w:snapToGrid w:val="0"/>
            </w:rPr>
          </w:pPr>
          <w:r>
            <w:rPr>
              <w:rFonts w:ascii="Arial" w:hAnsi="Arial"/>
              <w:snapToGrid w:val="0"/>
            </w:rPr>
            <w:t>Parallel Worlds of Mental Health</w:t>
          </w:r>
        </w:p>
      </w:tc>
      <w:tc>
        <w:tcPr>
          <w:tcW w:w="1134" w:type="dxa"/>
        </w:tcPr>
        <w:p w:rsidR="000D476C" w:rsidRDefault="000D476C">
          <w:pPr>
            <w:pStyle w:val="Header"/>
            <w:jc w:val="center"/>
            <w:rPr>
              <w:rFonts w:ascii="Arial" w:hAnsi="Arial"/>
              <w:snapToGrid w:val="0"/>
            </w:rPr>
          </w:pPr>
        </w:p>
      </w:tc>
      <w:tc>
        <w:tcPr>
          <w:tcW w:w="3928" w:type="dxa"/>
        </w:tcPr>
        <w:p w:rsidR="000D476C" w:rsidRDefault="000D476C">
          <w:pPr>
            <w:pStyle w:val="Header"/>
            <w:jc w:val="right"/>
            <w:rPr>
              <w:rFonts w:ascii="Arial" w:hAnsi="Arial"/>
              <w:snapToGrid w:val="0"/>
            </w:rPr>
          </w:pPr>
          <w:r>
            <w:rPr>
              <w:rFonts w:ascii="Arial" w:hAnsi="Arial"/>
              <w:snapToGrid w:val="0"/>
            </w:rPr>
            <w:t>NSW 107</w:t>
          </w:r>
        </w:p>
      </w:tc>
    </w:tr>
  </w:tbl>
  <w:p w:rsidR="000D476C" w:rsidRDefault="000D476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4"/>
  </w:num>
  <w:num w:numId="3">
    <w:abstractNumId w:val="8"/>
  </w:num>
  <w:num w:numId="4">
    <w:abstractNumId w:val="19"/>
  </w:num>
  <w:num w:numId="5">
    <w:abstractNumId w:val="26"/>
  </w:num>
  <w:num w:numId="6">
    <w:abstractNumId w:val="4"/>
  </w:num>
  <w:num w:numId="7">
    <w:abstractNumId w:val="2"/>
  </w:num>
  <w:num w:numId="8">
    <w:abstractNumId w:val="16"/>
  </w:num>
  <w:num w:numId="9">
    <w:abstractNumId w:val="22"/>
  </w:num>
  <w:num w:numId="10">
    <w:abstractNumId w:val="5"/>
  </w:num>
  <w:num w:numId="11">
    <w:abstractNumId w:val="13"/>
  </w:num>
  <w:num w:numId="12">
    <w:abstractNumId w:val="0"/>
  </w:num>
  <w:num w:numId="13">
    <w:abstractNumId w:val="9"/>
  </w:num>
  <w:num w:numId="14">
    <w:abstractNumId w:val="23"/>
  </w:num>
  <w:num w:numId="15">
    <w:abstractNumId w:val="20"/>
  </w:num>
  <w:num w:numId="16">
    <w:abstractNumId w:val="1"/>
  </w:num>
  <w:num w:numId="17">
    <w:abstractNumId w:val="12"/>
  </w:num>
  <w:num w:numId="18">
    <w:abstractNumId w:val="15"/>
  </w:num>
  <w:num w:numId="19">
    <w:abstractNumId w:val="21"/>
  </w:num>
  <w:num w:numId="20">
    <w:abstractNumId w:val="17"/>
  </w:num>
  <w:num w:numId="21">
    <w:abstractNumId w:val="14"/>
  </w:num>
  <w:num w:numId="22">
    <w:abstractNumId w:val="3"/>
  </w:num>
  <w:num w:numId="23">
    <w:abstractNumId w:val="6"/>
  </w:num>
  <w:num w:numId="24">
    <w:abstractNumId w:val="25"/>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D476C"/>
    <w:rsid w:val="000F2A07"/>
    <w:rsid w:val="00121AEA"/>
    <w:rsid w:val="0013201F"/>
    <w:rsid w:val="001428EB"/>
    <w:rsid w:val="00161C9B"/>
    <w:rsid w:val="00177078"/>
    <w:rsid w:val="001A29F3"/>
    <w:rsid w:val="001B72EE"/>
    <w:rsid w:val="00267910"/>
    <w:rsid w:val="00272C06"/>
    <w:rsid w:val="00283F8A"/>
    <w:rsid w:val="00284084"/>
    <w:rsid w:val="00295232"/>
    <w:rsid w:val="002A78CC"/>
    <w:rsid w:val="002B2745"/>
    <w:rsid w:val="002B2C82"/>
    <w:rsid w:val="002D0F95"/>
    <w:rsid w:val="002D240A"/>
    <w:rsid w:val="002E21F9"/>
    <w:rsid w:val="003A0238"/>
    <w:rsid w:val="003C3AE3"/>
    <w:rsid w:val="003D0B70"/>
    <w:rsid w:val="003D5562"/>
    <w:rsid w:val="003E23D3"/>
    <w:rsid w:val="00441ECC"/>
    <w:rsid w:val="00455859"/>
    <w:rsid w:val="00464ABD"/>
    <w:rsid w:val="0049673D"/>
    <w:rsid w:val="00497B5F"/>
    <w:rsid w:val="004B49E7"/>
    <w:rsid w:val="004E298B"/>
    <w:rsid w:val="005143C1"/>
    <w:rsid w:val="0053014A"/>
    <w:rsid w:val="00532940"/>
    <w:rsid w:val="00533537"/>
    <w:rsid w:val="00544021"/>
    <w:rsid w:val="0056705E"/>
    <w:rsid w:val="00597383"/>
    <w:rsid w:val="005A28BC"/>
    <w:rsid w:val="005A6B8E"/>
    <w:rsid w:val="005C10A6"/>
    <w:rsid w:val="005F0A9A"/>
    <w:rsid w:val="00613807"/>
    <w:rsid w:val="006153D8"/>
    <w:rsid w:val="00626C24"/>
    <w:rsid w:val="00697FF6"/>
    <w:rsid w:val="006A1A7F"/>
    <w:rsid w:val="00715322"/>
    <w:rsid w:val="00721404"/>
    <w:rsid w:val="00721FF2"/>
    <w:rsid w:val="00723208"/>
    <w:rsid w:val="00743D70"/>
    <w:rsid w:val="00754E67"/>
    <w:rsid w:val="007642A1"/>
    <w:rsid w:val="00772AD9"/>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9E1264"/>
    <w:rsid w:val="00A01D87"/>
    <w:rsid w:val="00A023DB"/>
    <w:rsid w:val="00A211C2"/>
    <w:rsid w:val="00A55EF9"/>
    <w:rsid w:val="00A85995"/>
    <w:rsid w:val="00A9176F"/>
    <w:rsid w:val="00A97B10"/>
    <w:rsid w:val="00AC5756"/>
    <w:rsid w:val="00AF6411"/>
    <w:rsid w:val="00B101E9"/>
    <w:rsid w:val="00B50404"/>
    <w:rsid w:val="00B61780"/>
    <w:rsid w:val="00B6361E"/>
    <w:rsid w:val="00B778BA"/>
    <w:rsid w:val="00B835FC"/>
    <w:rsid w:val="00B85E15"/>
    <w:rsid w:val="00BA119A"/>
    <w:rsid w:val="00BA20D3"/>
    <w:rsid w:val="00BA318C"/>
    <w:rsid w:val="00BB61BB"/>
    <w:rsid w:val="00BC7832"/>
    <w:rsid w:val="00BF288F"/>
    <w:rsid w:val="00C0550E"/>
    <w:rsid w:val="00C21FA7"/>
    <w:rsid w:val="00C4626B"/>
    <w:rsid w:val="00C514B8"/>
    <w:rsid w:val="00C53F7E"/>
    <w:rsid w:val="00C56D90"/>
    <w:rsid w:val="00C87B5D"/>
    <w:rsid w:val="00C97440"/>
    <w:rsid w:val="00C97897"/>
    <w:rsid w:val="00CA7357"/>
    <w:rsid w:val="00CB4EB0"/>
    <w:rsid w:val="00CD67C7"/>
    <w:rsid w:val="00CD77AD"/>
    <w:rsid w:val="00D0646F"/>
    <w:rsid w:val="00D1300B"/>
    <w:rsid w:val="00D444B5"/>
    <w:rsid w:val="00D5342F"/>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 w:type="character" w:customStyle="1" w:styleId="Heading2Char">
    <w:name w:val="Heading 2 Char"/>
    <w:basedOn w:val="DefaultParagraphFont"/>
    <w:link w:val="Heading2"/>
    <w:rsid w:val="00D5342F"/>
    <w:rPr>
      <w:b/>
      <w:sz w:val="24"/>
      <w:lang w:val="en-GB" w:eastAsia="en-US"/>
    </w:rPr>
  </w:style>
  <w:style w:type="character" w:customStyle="1" w:styleId="FooterChar">
    <w:name w:val="Footer Char"/>
    <w:basedOn w:val="DefaultParagraphFont"/>
    <w:link w:val="Footer"/>
    <w:rsid w:val="00D5342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 w:type="character" w:customStyle="1" w:styleId="Heading2Char">
    <w:name w:val="Heading 2 Char"/>
    <w:basedOn w:val="DefaultParagraphFont"/>
    <w:link w:val="Heading2"/>
    <w:rsid w:val="00D5342F"/>
    <w:rPr>
      <w:b/>
      <w:sz w:val="24"/>
      <w:lang w:val="en-GB" w:eastAsia="en-US"/>
    </w:rPr>
  </w:style>
  <w:style w:type="character" w:customStyle="1" w:styleId="FooterChar">
    <w:name w:val="Footer Char"/>
    <w:basedOn w:val="DefaultParagraphFont"/>
    <w:link w:val="Footer"/>
    <w:rsid w:val="00D5342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525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23628-FD69-49CC-9FAA-7159234E5715}"/>
</file>

<file path=customXml/itemProps2.xml><?xml version="1.0" encoding="utf-8"?>
<ds:datastoreItem xmlns:ds="http://schemas.openxmlformats.org/officeDocument/2006/customXml" ds:itemID="{883C965A-2501-4268-8DB1-044AE270E661}"/>
</file>

<file path=customXml/itemProps3.xml><?xml version="1.0" encoding="utf-8"?>
<ds:datastoreItem xmlns:ds="http://schemas.openxmlformats.org/officeDocument/2006/customXml" ds:itemID="{4ED1CAEC-333E-4778-BA99-0EB8E85DC446}"/>
</file>

<file path=docProps/app.xml><?xml version="1.0" encoding="utf-8"?>
<Properties xmlns="http://schemas.openxmlformats.org/officeDocument/2006/extended-properties" xmlns:vt="http://schemas.openxmlformats.org/officeDocument/2006/docPropsVTypes">
  <Template>Normal.dotm</Template>
  <TotalTime>1</TotalTime>
  <Pages>6</Pages>
  <Words>1298</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3</cp:revision>
  <cp:lastPrinted>2014-07-09T15:18:00Z</cp:lastPrinted>
  <dcterms:created xsi:type="dcterms:W3CDTF">2016-07-16T19:59:00Z</dcterms:created>
  <dcterms:modified xsi:type="dcterms:W3CDTF">2016-07-18T12:24:00Z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10873000</vt:r8>
  </property>
</Properties>
</file>